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Hej och välkomna!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Upprop, kolla så att alla är på plats.</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Tider och pauser, när tänker vi första start?</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Regler för dagen: alla hjälper till med banbygget och att bygga ut banan. Det gäller lilla ridhuset och stora. Alla hjälps åt att städa (glöm inte toaletterna) och se till att det ser bättre ut än när vi kom.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Mocka lilla ridhuset.</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Regler kring byte av schabrak och andra delar.</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Funkisar - uppgifter och nyckelpersoner. Har alla koll på vad de ska göra?</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HJÄLM PÅ BANAN!!!</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Regler på banan. Man får hjälpa till efter två stopp, inte innan. Inte lägga ner bommar innan utesluten, man får inte sitta upp efter att ha trillat av.</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Sjukvårdsansvarig</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Listor med funkisar och tider samt telefonnummer (anslagstavlan)</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God stämning, hjälp varandra.</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Ingen får vara i lektionssalen eller loungen.</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Prisutdelning sker när allt är klart, inga priser innan dess.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De som inte hjälper till (med exempelvis banbygge och städ) kan inte förvänta sig en rosett även om de är placerade.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